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hAnsi="方正小标宋简体" w:eastAsia="方正小标宋简体"/>
          <w:sz w:val="44"/>
          <w:szCs w:val="44"/>
        </w:rPr>
      </w:pPr>
      <w:r>
        <w:rPr>
          <w:rFonts w:hint="default" w:hAnsi="方正小标宋简体" w:eastAsia="方正小标宋简体"/>
          <w:sz w:val="44"/>
          <w:szCs w:val="44"/>
          <w:lang w:val="en-US"/>
        </w:rPr>
        <w:t>东莞交控集团简介</w:t>
      </w:r>
    </w:p>
    <w:p>
      <w:pPr>
        <w:spacing w:line="240" w:lineRule="auto"/>
        <w:ind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240" w:lineRule="auto"/>
        <w:ind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东莞市交通投资控股集团有限公司作为市属国有独资重点企业，是支撑东莞融入湾区、连通全球的核心交通国企。集团下辖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家直属企业，含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轨道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公交集团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、港务集团 2 家专业化市属国企及东莞控股 1 家国有上市企业，企业信用评级为AAA，员工总数超1.5万人。</w:t>
      </w:r>
    </w:p>
    <w:p>
      <w:pPr>
        <w:spacing w:line="240" w:lineRule="auto"/>
        <w:ind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OLE_LINK2"/>
      <w:bookmarkStart w:id="1" w:name="OLE_LINK4"/>
      <w:r>
        <w:rPr>
          <w:rFonts w:hint="default" w:ascii="Times New Roman" w:hAnsi="Times New Roman" w:eastAsia="仿宋_GB2312" w:cs="Times New Roman"/>
          <w:sz w:val="32"/>
          <w:szCs w:val="32"/>
        </w:rPr>
        <w:t>集团深耕综合交通全产业链，统筹轨道交通、港口物流、高速路网、公共交通等核心资源，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累计投资建设路桥项目超 80 个、总里程超 800 公里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运营管理高速公路 6 条、里程 268.08 公里，轨道交通线路2条、里程 95.26 公里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公交网络覆盖全市 28 个镇街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，</w:t>
      </w:r>
      <w:bookmarkStart w:id="2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同步运营香港机场和珠海海岛水上客运航线；旗下东莞港开通内外贸航线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、通达全球9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bookmarkStart w:id="4" w:name="_GoBack"/>
      <w:bookmarkEnd w:id="4"/>
      <w:r>
        <w:rPr>
          <w:rFonts w:hint="default" w:ascii="Times New Roman" w:hAnsi="Times New Roman" w:eastAsia="仿宋_GB2312" w:cs="Times New Roman"/>
          <w:sz w:val="32"/>
          <w:szCs w:val="32"/>
        </w:rPr>
        <w:t>个主要港口，空港中心联通全球90个国家和地区的220个航点，运营清溪B保、中欧（中亚）班列，布局海外选品中心和海外仓，以海空联动、多式联运物流体系和全链路外贸服务，为莞企“出海”提供坚实支撑，助力产业升级与外贸高质量发展。</w:t>
      </w:r>
    </w:p>
    <w:bookmarkEnd w:id="1"/>
    <w:bookmarkEnd w:id="2"/>
    <w:p>
      <w:pPr>
        <w:spacing w:line="240" w:lineRule="auto"/>
        <w:ind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" w:name="OLE_LINK3"/>
      <w:r>
        <w:rPr>
          <w:rFonts w:hint="default" w:ascii="Times New Roman" w:hAnsi="Times New Roman" w:eastAsia="仿宋_GB2312" w:cs="Times New Roman"/>
          <w:sz w:val="32"/>
          <w:szCs w:val="32"/>
        </w:rPr>
        <w:t>集团紧扣东莞“智创优品、和美宜居”城市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战略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目标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，以“畅享莞邑、交融湾区、链通全球”为使命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愿景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加快大交通、大物流、新产业布局，全力构建六网体系：安全畅通、智慧绿色的高速公路网；轨道引领、公轨融合的公共交通网；通达湾区、连接全球的现代物流网；功能齐全、自主可控的国际贸易网；设备先进、感知精准的智慧管养网；场景驱动、有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探索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的低空经济网。</w:t>
      </w:r>
    </w:p>
    <w:p>
      <w:pPr>
        <w:spacing w:line="240" w:lineRule="auto"/>
        <w:ind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展望未来，东莞交控集团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坚守国企担当，以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六网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建设为抓手，强化海陆空铁基础设施与产业联动，完善莞企出海服务体系，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全力支撑“智创优品”的生产效率和“和美宜居”的生活品质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，为东莞深度融入粤港澳大湾区、擦亮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vertAlign w:val="baseline"/>
          <w:lang w:val="en-US" w:eastAsia="zh-CN"/>
        </w:rPr>
        <w:t>制造美学之城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名片、建设现代化新东莞贡献交控力量。</w:t>
      </w:r>
    </w:p>
    <w:bookmarkEnd w:id="3"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1ZTQ5ODkyZTkyZWFlYjBkYzMyNDk1OTY2Zjc5NDIifQ=="/>
  </w:docVars>
  <w:rsids>
    <w:rsidRoot w:val="00000000"/>
    <w:rsid w:val="00B35C1B"/>
    <w:rsid w:val="03EA48C7"/>
    <w:rsid w:val="052C4F6E"/>
    <w:rsid w:val="07EC15B7"/>
    <w:rsid w:val="12032972"/>
    <w:rsid w:val="21390E7E"/>
    <w:rsid w:val="30AD79DC"/>
    <w:rsid w:val="4B0F3341"/>
    <w:rsid w:val="54511EB7"/>
    <w:rsid w:val="592B68E2"/>
    <w:rsid w:val="71C722D3"/>
    <w:rsid w:val="73CD53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qFormat/>
    <w:uiPriority w:val="1"/>
  </w:style>
  <w:style w:type="table" w:default="1" w:styleId="3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Words>671</Words>
  <Characters>695</Characters>
  <Paragraphs>6</Paragraphs>
  <TotalTime>170</TotalTime>
  <ScaleCrop>false</ScaleCrop>
  <LinksUpToDate>false</LinksUpToDate>
  <CharactersWithSpaces>713</CharactersWithSpaces>
  <Application>WPS Office_12.1.0.16250_F1E327BC-269C-435d-A152-05C5408002CA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2026-03-08T08:00:00Z</dcterms:created>
  <dc:creator>ADY-AL00</dc:creator>
  <cp:lastModifiedBy>廖杏子</cp:lastModifiedBy>
  <dcterms:modified xsi:type="dcterms:W3CDTF">2026-08-25T02:54:42Z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61524d2f485d429696d57e649a588ecc_21</vt:lpwstr>
  </property>
  <property fmtid="{D5CDD505-2E9C-101B-9397-08002B2CF9AE}" pid="3" name="KSOProductBuildVer">
    <vt:lpwstr>2052-12.1.0.16250</vt:lpwstr>
  </property>
</Properties>
</file>